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38" w:rsidRPr="00BB2738" w:rsidRDefault="000368BC" w:rsidP="00BB2738">
      <w:pPr>
        <w:ind w:left="720"/>
        <w:rPr>
          <w:rFonts w:ascii="Lucida Bright" w:hAnsi="Lucida Bright"/>
          <w:b/>
          <w:bCs/>
          <w:sz w:val="28"/>
        </w:rPr>
      </w:pPr>
      <w:bookmarkStart w:id="0" w:name="_GoBack"/>
      <w:bookmarkEnd w:id="0"/>
      <w:r w:rsidRPr="00BB2738">
        <w:rPr>
          <w:rFonts w:ascii="Lucida Bright" w:hAnsi="Lucida Bright"/>
          <w:b/>
          <w:bCs/>
          <w:sz w:val="28"/>
        </w:rPr>
        <w:t>Central Place Theory</w:t>
      </w:r>
    </w:p>
    <w:p w:rsidR="00C03E28" w:rsidRPr="00BB2738" w:rsidRDefault="000368BC" w:rsidP="00BB2738">
      <w:pPr>
        <w:numPr>
          <w:ilvl w:val="1"/>
          <w:numId w:val="12"/>
        </w:numPr>
        <w:rPr>
          <w:rFonts w:ascii="Lucida Bright" w:hAnsi="Lucida Bright"/>
          <w:b/>
          <w:bCs/>
          <w:sz w:val="28"/>
        </w:rPr>
      </w:pPr>
      <w:r w:rsidRPr="00BB2738">
        <w:rPr>
          <w:rFonts w:ascii="Lucida Bright" w:hAnsi="Lucida Bright"/>
          <w:b/>
          <w:bCs/>
          <w:sz w:val="28"/>
        </w:rPr>
        <w:t xml:space="preserve">This theory is based on the work of Walter </w:t>
      </w:r>
      <w:proofErr w:type="spellStart"/>
      <w:r w:rsidRPr="00BB2738">
        <w:rPr>
          <w:rFonts w:ascii="Lucida Bright" w:hAnsi="Lucida Bright"/>
          <w:b/>
          <w:bCs/>
          <w:sz w:val="28"/>
        </w:rPr>
        <w:t>Christaller</w:t>
      </w:r>
      <w:proofErr w:type="spellEnd"/>
      <w:r w:rsidRPr="00BB2738">
        <w:rPr>
          <w:rFonts w:ascii="Lucida Bright" w:hAnsi="Lucida Bright"/>
          <w:b/>
          <w:bCs/>
          <w:sz w:val="28"/>
        </w:rPr>
        <w:t xml:space="preserve"> in his book entitled </w:t>
      </w:r>
      <w:r w:rsidRPr="00BB2738">
        <w:rPr>
          <w:rFonts w:ascii="Lucida Bright" w:hAnsi="Lucida Bright"/>
          <w:b/>
          <w:bCs/>
          <w:i/>
          <w:iCs/>
          <w:sz w:val="28"/>
        </w:rPr>
        <w:t>The Central Places in Southern Germany</w:t>
      </w:r>
      <w:r w:rsidRPr="00BB2738">
        <w:rPr>
          <w:rFonts w:ascii="Lucida Bright" w:hAnsi="Lucida Bright"/>
          <w:b/>
          <w:bCs/>
          <w:sz w:val="28"/>
        </w:rPr>
        <w:t xml:space="preserve"> (1933).</w:t>
      </w:r>
    </w:p>
    <w:p w:rsidR="00C03E28" w:rsidRPr="00BB2738" w:rsidRDefault="000368BC" w:rsidP="00BB2738">
      <w:pPr>
        <w:numPr>
          <w:ilvl w:val="1"/>
          <w:numId w:val="12"/>
        </w:numPr>
        <w:rPr>
          <w:rFonts w:ascii="Lucida Bright" w:hAnsi="Lucida Bright"/>
          <w:b/>
          <w:bCs/>
          <w:sz w:val="28"/>
        </w:rPr>
      </w:pPr>
      <w:r w:rsidRPr="00BB2738">
        <w:rPr>
          <w:rFonts w:ascii="Lucida Bright" w:hAnsi="Lucida Bright"/>
          <w:b/>
          <w:bCs/>
          <w:sz w:val="28"/>
        </w:rPr>
        <w:t xml:space="preserve">Central place theory is a geographical theory that seeks to explain the number, size and location of human settlements in an urban system. The theory was created by the German geographer Walter </w:t>
      </w:r>
      <w:proofErr w:type="spellStart"/>
      <w:r w:rsidRPr="00BB2738">
        <w:rPr>
          <w:rFonts w:ascii="Lucida Bright" w:hAnsi="Lucida Bright"/>
          <w:b/>
          <w:bCs/>
          <w:sz w:val="28"/>
        </w:rPr>
        <w:t>Christaller</w:t>
      </w:r>
      <w:proofErr w:type="spellEnd"/>
      <w:r w:rsidRPr="00BB2738">
        <w:rPr>
          <w:rFonts w:ascii="Lucida Bright" w:hAnsi="Lucida Bright"/>
          <w:b/>
          <w:bCs/>
          <w:sz w:val="28"/>
        </w:rPr>
        <w:t>, who asserted that settlements simply functioned as 'central places' providing services to surrounding areas.</w:t>
      </w:r>
    </w:p>
    <w:p w:rsidR="00BB2738" w:rsidRPr="00BB2738" w:rsidRDefault="00BB2738" w:rsidP="00BB2738">
      <w:pPr>
        <w:ind w:left="720"/>
        <w:rPr>
          <w:rFonts w:ascii="Lucida Bright" w:hAnsi="Lucida Bright"/>
          <w:b/>
          <w:bCs/>
          <w:sz w:val="28"/>
        </w:rPr>
      </w:pP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proofErr w:type="spellStart"/>
      <w:r w:rsidRPr="00BB2738">
        <w:rPr>
          <w:rFonts w:ascii="Lucida Bright" w:hAnsi="Lucida Bright"/>
          <w:b/>
          <w:bCs/>
          <w:sz w:val="28"/>
        </w:rPr>
        <w:t>Christaller’s</w:t>
      </w:r>
      <w:proofErr w:type="spellEnd"/>
      <w:r w:rsidRPr="00BB2738">
        <w:rPr>
          <w:rFonts w:ascii="Lucida Bright" w:hAnsi="Lucida Bright"/>
          <w:b/>
          <w:bCs/>
          <w:sz w:val="28"/>
        </w:rPr>
        <w:t xml:space="preserve"> results included the following: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 xml:space="preserve">The landscape is divided into </w:t>
      </w:r>
      <w:proofErr w:type="gramStart"/>
      <w:r w:rsidRPr="00BB2738">
        <w:rPr>
          <w:rFonts w:ascii="Lucida Bright" w:hAnsi="Lucida Bright"/>
          <w:sz w:val="28"/>
        </w:rPr>
        <w:t>noncompeting  market</w:t>
      </w:r>
      <w:proofErr w:type="gramEnd"/>
      <w:r w:rsidRPr="00BB2738">
        <w:rPr>
          <w:rFonts w:ascii="Lucida Bright" w:hAnsi="Lucida Bright"/>
          <w:sz w:val="28"/>
        </w:rPr>
        <w:t xml:space="preserve"> areas known as </w:t>
      </w:r>
      <w:r w:rsidRPr="00BB2738">
        <w:rPr>
          <w:rFonts w:ascii="Lucida Bright" w:hAnsi="Lucida Bright"/>
          <w:b/>
          <w:bCs/>
          <w:sz w:val="28"/>
        </w:rPr>
        <w:t>complementary regions.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Each individual urban center and its merchants have a sale monopoly.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 xml:space="preserve">Market areas form a series of </w:t>
      </w:r>
      <w:r w:rsidRPr="00BB2738">
        <w:rPr>
          <w:rFonts w:ascii="Lucida Bright" w:hAnsi="Lucida Bright"/>
          <w:b/>
          <w:bCs/>
          <w:sz w:val="28"/>
        </w:rPr>
        <w:t>hexagons</w:t>
      </w:r>
      <w:r w:rsidRPr="00BB2738">
        <w:rPr>
          <w:rFonts w:ascii="Lucida Bright" w:hAnsi="Lucida Bright"/>
          <w:sz w:val="28"/>
        </w:rPr>
        <w:t xml:space="preserve"> that cover the area.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All areas are served.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There is no area with equal service from two centers.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The central place is at the center of each hexagon.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The central place will supply all the goods and services to consumers in that area.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b/>
          <w:bCs/>
          <w:sz w:val="28"/>
        </w:rPr>
        <w:t>The size of the market area of a central place is based on the number of goods and services offered.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b/>
          <w:bCs/>
          <w:sz w:val="28"/>
        </w:rPr>
        <w:t>The larger the number of goods and services, the larger the market area.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 xml:space="preserve">Within each hexagon, or around its edges, lie smaller hexagons with </w:t>
      </w:r>
      <w:r w:rsidRPr="00BB2738">
        <w:rPr>
          <w:rFonts w:ascii="Lucida Bright" w:hAnsi="Lucida Bright"/>
          <w:b/>
          <w:bCs/>
          <w:sz w:val="28"/>
        </w:rPr>
        <w:t xml:space="preserve">central places </w:t>
      </w:r>
      <w:r w:rsidRPr="00BB2738">
        <w:rPr>
          <w:rFonts w:ascii="Lucida Bright" w:hAnsi="Lucida Bright"/>
          <w:sz w:val="28"/>
        </w:rPr>
        <w:t>that serve smaller areas.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 xml:space="preserve">The nesting of small hexagons within larger ones creates a hierarchy of </w:t>
      </w:r>
      <w:r w:rsidRPr="00BB2738">
        <w:rPr>
          <w:rFonts w:ascii="Lucida Bright" w:hAnsi="Lucida Bright"/>
          <w:b/>
          <w:bCs/>
          <w:sz w:val="28"/>
        </w:rPr>
        <w:t>central places.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b/>
          <w:bCs/>
          <w:sz w:val="28"/>
        </w:rPr>
        <w:t xml:space="preserve">Small centers </w:t>
      </w:r>
      <w:r w:rsidRPr="00BB2738">
        <w:rPr>
          <w:rFonts w:ascii="Lucida Bright" w:hAnsi="Lucida Bright"/>
          <w:sz w:val="28"/>
        </w:rPr>
        <w:t>may provide goods with low thresholds (e.g. foodstuffs).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b/>
          <w:bCs/>
          <w:sz w:val="28"/>
        </w:rPr>
        <w:lastRenderedPageBreak/>
        <w:t xml:space="preserve">Larger centers </w:t>
      </w:r>
      <w:r w:rsidRPr="00BB2738">
        <w:rPr>
          <w:rFonts w:ascii="Lucida Bright" w:hAnsi="Lucida Bright"/>
          <w:sz w:val="28"/>
        </w:rPr>
        <w:t>provide more expensive items, like cars or farm machinery.</w:t>
      </w:r>
    </w:p>
    <w:p w:rsidR="00BB2738" w:rsidRPr="00BB2738" w:rsidRDefault="00BB2738" w:rsidP="00BB2738">
      <w:pPr>
        <w:ind w:left="720"/>
        <w:rPr>
          <w:rFonts w:ascii="Lucida Bright" w:hAnsi="Lucida Bright"/>
          <w:sz w:val="28"/>
        </w:rPr>
      </w:pPr>
    </w:p>
    <w:p w:rsidR="00BB2738" w:rsidRPr="00BB2738" w:rsidRDefault="00BB2738" w:rsidP="00BB2738">
      <w:pPr>
        <w:ind w:left="720"/>
        <w:rPr>
          <w:rFonts w:ascii="Lucida Bright" w:hAnsi="Lucida Bright"/>
          <w:sz w:val="28"/>
        </w:rPr>
      </w:pPr>
      <w:proofErr w:type="spellStart"/>
      <w:r w:rsidRPr="00BB2738">
        <w:rPr>
          <w:rFonts w:ascii="Lucida Bright" w:hAnsi="Lucida Bright"/>
          <w:b/>
          <w:bCs/>
          <w:sz w:val="28"/>
        </w:rPr>
        <w:t>Christaller</w:t>
      </w:r>
      <w:proofErr w:type="spellEnd"/>
      <w:r w:rsidRPr="00BB2738">
        <w:rPr>
          <w:rFonts w:ascii="Lucida Bright" w:hAnsi="Lucida Bright"/>
          <w:b/>
          <w:bCs/>
          <w:sz w:val="28"/>
        </w:rPr>
        <w:t xml:space="preserve"> came to two important conclusions regarding settlement patterns.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proofErr w:type="spellStart"/>
      <w:r w:rsidRPr="00BB2738">
        <w:rPr>
          <w:rFonts w:ascii="Lucida Bright" w:hAnsi="Lucida Bright"/>
          <w:b/>
          <w:bCs/>
          <w:sz w:val="28"/>
        </w:rPr>
        <w:t>Christaller’s</w:t>
      </w:r>
      <w:proofErr w:type="spellEnd"/>
      <w:r w:rsidRPr="00BB2738">
        <w:rPr>
          <w:rFonts w:ascii="Lucida Bright" w:hAnsi="Lucida Bright"/>
          <w:b/>
          <w:bCs/>
          <w:sz w:val="28"/>
        </w:rPr>
        <w:t xml:space="preserve"> first conclusion:</w:t>
      </w:r>
    </w:p>
    <w:p w:rsidR="00C03E28" w:rsidRPr="00BB2738" w:rsidRDefault="000368BC" w:rsidP="00BB2738">
      <w:pPr>
        <w:numPr>
          <w:ilvl w:val="1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b/>
          <w:bCs/>
          <w:sz w:val="28"/>
        </w:rPr>
        <w:t xml:space="preserve">Towns </w:t>
      </w:r>
      <w:r w:rsidRPr="00BB2738">
        <w:rPr>
          <w:rFonts w:ascii="Lucida Bright" w:hAnsi="Lucida Bright"/>
          <w:sz w:val="28"/>
        </w:rPr>
        <w:t>of the same size are evenly spaced because they are in the centers of like-sized market areas.</w:t>
      </w:r>
    </w:p>
    <w:p w:rsidR="00C03E28" w:rsidRPr="00BB2738" w:rsidRDefault="000368BC" w:rsidP="00BB2738">
      <w:pPr>
        <w:numPr>
          <w:ilvl w:val="1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Larger towns are farther apart than smaller towns because their market areas are larger.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proofErr w:type="spellStart"/>
      <w:r w:rsidRPr="00BB2738">
        <w:rPr>
          <w:rFonts w:ascii="Lucida Bright" w:hAnsi="Lucida Bright"/>
          <w:b/>
          <w:bCs/>
          <w:sz w:val="28"/>
        </w:rPr>
        <w:t>Christaller’s</w:t>
      </w:r>
      <w:proofErr w:type="spellEnd"/>
      <w:r w:rsidRPr="00BB2738">
        <w:rPr>
          <w:rFonts w:ascii="Lucida Bright" w:hAnsi="Lucida Bright"/>
          <w:b/>
          <w:bCs/>
          <w:sz w:val="28"/>
        </w:rPr>
        <w:t xml:space="preserve"> second conclusion:</w:t>
      </w:r>
    </w:p>
    <w:p w:rsidR="00C03E28" w:rsidRPr="00BB2738" w:rsidRDefault="000368BC" w:rsidP="00BB2738">
      <w:pPr>
        <w:numPr>
          <w:ilvl w:val="1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 xml:space="preserve">Towns are part of an </w:t>
      </w:r>
      <w:r w:rsidRPr="00BB2738">
        <w:rPr>
          <w:rFonts w:ascii="Lucida Bright" w:hAnsi="Lucida Bright"/>
          <w:b/>
          <w:bCs/>
          <w:sz w:val="28"/>
        </w:rPr>
        <w:t>interdependent</w:t>
      </w:r>
      <w:r w:rsidRPr="00BB2738">
        <w:rPr>
          <w:rFonts w:ascii="Lucida Bright" w:hAnsi="Lucida Bright"/>
          <w:sz w:val="28"/>
        </w:rPr>
        <w:t xml:space="preserve"> system.</w:t>
      </w:r>
    </w:p>
    <w:p w:rsidR="00C03E28" w:rsidRPr="00BB2738" w:rsidRDefault="000368BC" w:rsidP="00BB2738">
      <w:pPr>
        <w:numPr>
          <w:ilvl w:val="1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 xml:space="preserve">If a central place is eliminated, the entire system readjusts, </w:t>
      </w:r>
      <w:r w:rsidRPr="00BB2738">
        <w:rPr>
          <w:rFonts w:ascii="Lucida Bright" w:hAnsi="Lucida Bright"/>
          <w:b/>
          <w:bCs/>
          <w:sz w:val="28"/>
        </w:rPr>
        <w:t xml:space="preserve">altering the spatial pattern </w:t>
      </w:r>
      <w:r w:rsidRPr="00BB2738">
        <w:rPr>
          <w:rFonts w:ascii="Lucida Bright" w:hAnsi="Lucida Bright"/>
          <w:sz w:val="28"/>
        </w:rPr>
        <w:t>to meet the needs and demands of the inhabitants.</w:t>
      </w:r>
    </w:p>
    <w:p w:rsidR="00C03E28" w:rsidRPr="00BB2738" w:rsidRDefault="000368BC" w:rsidP="00BB2738">
      <w:pPr>
        <w:numPr>
          <w:ilvl w:val="0"/>
          <w:numId w:val="1"/>
        </w:numPr>
        <w:rPr>
          <w:rFonts w:ascii="Lucida Bright" w:hAnsi="Lucida Bright"/>
          <w:sz w:val="28"/>
        </w:rPr>
      </w:pPr>
      <w:r w:rsidRPr="00BB2738">
        <w:rPr>
          <w:rFonts w:ascii="Lucida Bright" w:hAnsi="Lucida Bright"/>
          <w:sz w:val="28"/>
        </w:rPr>
        <w:t>In areas where cities are multi-functional, the model is less applicable.</w:t>
      </w:r>
    </w:p>
    <w:p w:rsidR="00335182" w:rsidRPr="00BB2738" w:rsidRDefault="00752EA6">
      <w:pPr>
        <w:rPr>
          <w:rFonts w:ascii="Lucida Bright" w:hAnsi="Lucida Bright"/>
          <w:sz w:val="28"/>
        </w:rPr>
      </w:pPr>
    </w:p>
    <w:sectPr w:rsidR="00335182" w:rsidRPr="00BB2738" w:rsidSect="00BB2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454"/>
    <w:multiLevelType w:val="hybridMultilevel"/>
    <w:tmpl w:val="8E44519E"/>
    <w:lvl w:ilvl="0" w:tplc="7AB85E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E09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62F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61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290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C8F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27E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AA3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48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B4B86"/>
    <w:multiLevelType w:val="hybridMultilevel"/>
    <w:tmpl w:val="3328F08A"/>
    <w:lvl w:ilvl="0" w:tplc="8F5C4A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C35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C0A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8F8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49A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86A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20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7D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A81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A49A4"/>
    <w:multiLevelType w:val="hybridMultilevel"/>
    <w:tmpl w:val="B64E460A"/>
    <w:lvl w:ilvl="0" w:tplc="41C4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8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A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C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2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0F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8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C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FC5B9D"/>
    <w:multiLevelType w:val="hybridMultilevel"/>
    <w:tmpl w:val="A230B1C8"/>
    <w:lvl w:ilvl="0" w:tplc="C15A3C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E41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2C2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29C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255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EA8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A3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6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29F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887D6F"/>
    <w:multiLevelType w:val="hybridMultilevel"/>
    <w:tmpl w:val="BB2873A6"/>
    <w:lvl w:ilvl="0" w:tplc="4A7E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35B4">
      <w:start w:val="3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AB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0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0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0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A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6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646641"/>
    <w:multiLevelType w:val="hybridMultilevel"/>
    <w:tmpl w:val="346A3880"/>
    <w:lvl w:ilvl="0" w:tplc="E384F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E4288">
      <w:start w:val="3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0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0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0F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E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6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2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E656C0"/>
    <w:multiLevelType w:val="hybridMultilevel"/>
    <w:tmpl w:val="8E247872"/>
    <w:lvl w:ilvl="0" w:tplc="1B0E4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2D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022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603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8AF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6AF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E4E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20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A02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EB1D3B"/>
    <w:multiLevelType w:val="hybridMultilevel"/>
    <w:tmpl w:val="3F647354"/>
    <w:lvl w:ilvl="0" w:tplc="BBCE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CD9B0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8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A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B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A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A2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2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C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CE1C4D"/>
    <w:multiLevelType w:val="hybridMultilevel"/>
    <w:tmpl w:val="D4EA9D44"/>
    <w:lvl w:ilvl="0" w:tplc="CAA49E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7B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41B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0B3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690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81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011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CFA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60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5F796A"/>
    <w:multiLevelType w:val="hybridMultilevel"/>
    <w:tmpl w:val="715E89B0"/>
    <w:lvl w:ilvl="0" w:tplc="A45836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58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028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A4B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AF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43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A6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46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065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DF0A30"/>
    <w:multiLevelType w:val="hybridMultilevel"/>
    <w:tmpl w:val="F0988862"/>
    <w:lvl w:ilvl="0" w:tplc="7AF80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C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0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E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A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C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4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6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0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140B98"/>
    <w:multiLevelType w:val="hybridMultilevel"/>
    <w:tmpl w:val="1214F8FE"/>
    <w:lvl w:ilvl="0" w:tplc="CE3C6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691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6E0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AD3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61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45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65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8A4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4F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8"/>
    <w:rsid w:val="000368BC"/>
    <w:rsid w:val="004446B4"/>
    <w:rsid w:val="00752EA6"/>
    <w:rsid w:val="00BB2738"/>
    <w:rsid w:val="00C03E28"/>
    <w:rsid w:val="00D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FA4CA-8CDA-426E-8F34-C06B0C1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7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9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Jodi</dc:creator>
  <cp:lastModifiedBy>Patterson, Lisa</cp:lastModifiedBy>
  <cp:revision>2</cp:revision>
  <cp:lastPrinted>2016-03-23T13:02:00Z</cp:lastPrinted>
  <dcterms:created xsi:type="dcterms:W3CDTF">2018-05-04T18:05:00Z</dcterms:created>
  <dcterms:modified xsi:type="dcterms:W3CDTF">2018-05-04T18:05:00Z</dcterms:modified>
</cp:coreProperties>
</file>